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color w:val="172E51"/>
          <w:sz w:val="40"/>
          <w:szCs w:val="40"/>
        </w:rPr>
        <w:t xml:space="preserve">Polityka korzystania z narzędzi sztucznej inteligencji (AI)</w:t>
      </w:r>
    </w:p>
    <w:p>
      <w:pPr>
        <w:spacing w:after="120"/>
      </w:pPr>
      <w:r>
        <w:rPr>
          <w:b/>
          <w:bCs/>
        </w:rPr>
        <w:t xml:space="preserve">[Nazwa firmy]</w:t>
      </w:r>
      <w:r>
        <w:t xml:space="preserve"> · wersja [1.0] · obowiązuje od [data]</w:t>
      </w:r>
    </w:p>
    <w:p>
      <w:pPr>
        <w:pBdr>
          <w:left w:val="single" w:color="3562ED" w:sz="18" w:space="8"/>
        </w:pBdr>
        <w:spacing w:after="240" w:before="120"/>
      </w:pPr>
      <w:r>
        <w:rPr>
          <w:b/>
          <w:bCs/>
        </w:rPr>
        <w:t xml:space="preserve">Jak korzystać z tego wzoru: </w:t>
      </w:r>
      <w:r>
        <w:rPr>
          <w:color w:val="536179"/>
        </w:rPr>
        <w:t xml:space="preserve">to materiał startowy dla firmy korzystającej z gotowych narzędzi AI. Uzupełnij pola w nawiasach kwadratowych, usuń to, co Was nie dotyczy, i przed wdrożeniem daj dokument do przeglądu osobie od prawa lub ochrony danych. Wzór nie stanowi porady prawnej i nie wystarczy, jeśli budujecie własne modele, używacie AI do decyzji o ludziach (np. rekrutacja, ocena pracowników) albo działacie w sektorze z własnymi wymogami. Źródło: nodash_, Strefa Wiedzy.</w:t>
      </w:r>
    </w:p>
    <w:p>
      <w:pPr>
        <w:pStyle w:val="Heading1"/>
      </w:pPr>
      <w:r>
        <w:t xml:space="preserve">1. Cel i zakres</w:t>
      </w:r>
    </w:p>
    <w:p>
      <w:pPr>
        <w:spacing w:after="120"/>
      </w:pPr>
      <w:r>
        <w:t xml:space="preserve">Polityka określa, z jakich narzędzi AI korzystamy, jakie dane możemy do nich przesyłać, kto sprawdza wyniki i jak reagujemy na incydenty. Jej celem jest bezpieczne i świadome korzystanie z AI w pracy.</w:t>
      </w:r>
    </w:p>
    <w:p>
      <w:pPr>
        <w:spacing w:after="120"/>
      </w:pPr>
      <w:r>
        <w:t xml:space="preserve">Polityka dotyczy wszystkich osób, które wykonują zadania w imieniu [nazwa firmy]: pracowników, współpracowników i podwykonawców, w tym na podstawie umów B2B, w zakresie określonym w ich umowach.</w:t>
      </w:r>
    </w:p>
    <w:p>
      <w:pPr>
        <w:pStyle w:val="Heading1"/>
      </w:pPr>
      <w:r>
        <w:t xml:space="preserve">2. Definicje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Narzędzie AI: </w:t>
      </w:r>
      <w:r>
        <w:t xml:space="preserve">program lub usługa, która generuje treści, analizuje dane lub wykonuje działania z użyciem sztucznej inteligencji, także funkcja AI wbudowana w inny program.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Rejestr narzędzi: </w:t>
      </w:r>
      <w:r>
        <w:t xml:space="preserve">załącznik 1 do polityki z listą zatwierdzonych narzędzi i dopuszczonych danych.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Dane osobowe: </w:t>
      </w:r>
      <w:r>
        <w:t xml:space="preserve">informacje o zidentyfikowanej lub możliwej do zidentyfikowania osobie fizycznej.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Informacje poufne: </w:t>
      </w:r>
      <w:r>
        <w:t xml:space="preserve">informacje firmy lub klientów, których ujawnienie może zaszkodzić firmie, w tym tajemnica przedsiębiorstwa.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Wynik AI: </w:t>
      </w:r>
      <w:r>
        <w:t xml:space="preserve">treść, analiza lub działanie przygotowane z pomocą narzędzia AI.</w:t>
      </w:r>
    </w:p>
    <w:p>
      <w:pPr>
        <w:pStyle w:val="Heading1"/>
      </w:pPr>
      <w:r>
        <w:t xml:space="preserve">3. Narzędzia i rejestr</w:t>
      </w:r>
    </w:p>
    <w:p>
      <w:pPr>
        <w:spacing w:after="120"/>
      </w:pPr>
      <w:r>
        <w:t xml:space="preserve">Do zadań służbowych korzystamy wyłącznie z narzędzi AI wpisanych do rejestru narzędzi (załącznik 1). Nowe narzędzie, w tym nową funkcję AI w programie, z którego już korzystamy, zgłaszasz opiekunowi narzędzi. Opiekun odpowiada w ciągu [5] dni roboczych.</w:t>
      </w:r>
    </w:p>
    <w:p>
      <w:pPr>
        <w:spacing w:after="120"/>
      </w:pPr>
      <w:r>
        <w:t xml:space="preserve">Przed wpisaniem narzędzia do rejestru opiekun sprawdza: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czy dostawca podpisze umowę powierzenia przetwarzania danych (art. 28 RODO),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czy dane z naszego konta służą do trenowania modeli i czy można to wyłączyć,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gdzie są przetwarzane dane i na jakiej podstawie mogą być przekazywane poza Europejski Obszar Gospodarczy,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jak długo dostawca przechowuje rozmowy i pliki, także usunięte,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czy możemy zarządzać kontami i odebrać dostęp osobie, która odchodzi z firmy.</w:t>
      </w:r>
    </w:p>
    <w:p>
      <w:pPr>
        <w:pStyle w:val="Heading1"/>
      </w:pPr>
      <w:r>
        <w:t xml:space="preserve">4. Zasady dotyczące danych</w:t>
      </w:r>
    </w:p>
    <w:p>
      <w:pPr>
        <w:spacing w:after="120"/>
      </w:pPr>
      <w:r>
        <w:t xml:space="preserve">Dane, które możemy przesyłać do narzędzi AI, dzielimy na cztery kategorie: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00"/>
        <w:gridCol w:w="2000"/>
        <w:gridCol w:w="2226"/>
      </w:tblGrid>
      <w:tr>
        <w:trPr>
          <w:tblHeader/>
        </w:trP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Kategoria</w:t>
            </w:r>
          </w:p>
        </w:tc>
        <w:tc>
          <w:tcPr>
            <w:tcW w:type="dxa" w:w="2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Przykłady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Konto prywatne</w:t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Zatwierdzone konto firmowe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Materiały publiczne</w:t>
            </w:r>
          </w:p>
        </w:tc>
        <w:tc>
          <w:tcPr>
            <w:tcW w:type="dxa" w:w="2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treści z naszej strony, opublikowane komunikaty, ogólne pytania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tak, z poszanowaniem praw do treści i danych osobowych</w:t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tak, z poszanowaniem praw do treści i danych osobowych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Dane wewnętrzne</w:t>
            </w:r>
          </w:p>
        </w:tc>
        <w:tc>
          <w:tcPr>
            <w:tcW w:type="dxa" w:w="2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procedury, notatki zespołu, zagregowane wyniki bez możliwości identyfikacji osób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nie</w:t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warunkowo: zgodnie z polityką i uprawnieniami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Dane osobowe i poufne</w:t>
            </w:r>
          </w:p>
        </w:tc>
        <w:tc>
          <w:tcPr>
            <w:tcW w:type="dxa" w:w="2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dane klientów i pracowników, umowy, strategia, indywidualne cenniki, kod należący do klienta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nie</w:t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po ocenie zastosowania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Hasła i klucze API</w:t>
            </w:r>
          </w:p>
        </w:tc>
        <w:tc>
          <w:tcPr>
            <w:tcW w:type="dxa" w:w="2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hasła, klucze dostępu, tokeny, dane logowania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nie</w:t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nie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Ocena zastosowania </w:t>
      </w:r>
      <w:r>
        <w:t xml:space="preserve">oznacza, że [osoba odpowiedzialna] sprawdziła cel, podstawę prawną, umowę powierzenia z dostawcą, umowę z klientem oraz to, czy cel da się osiągnąć na mniejszej ilości danych. Zgoda przełożonego nie zastępuje podstawy prawnej. Szczególne kategorie danych (np. o zdrowiu, art. 9 RODO) wymagają osobnej oceny.</w:t>
      </w:r>
    </w:p>
    <w:p>
      <w:pPr>
        <w:spacing w:after="120"/>
      </w:pPr>
      <w:r>
        <w:t xml:space="preserve">Haseł, kluczy dostępu ani tokenów nie wprowadzamy do rozmów ani załączników w żadnym narzędziu. Połączenia AI z innymi systemami konfigurujemy wyłącznie przez przeznaczone do tego mechanizmy autoryzacji.</w:t>
      </w:r>
    </w:p>
    <w:p>
      <w:pPr>
        <w:spacing w:after="120"/>
      </w:pPr>
      <w:r>
        <w:t xml:space="preserve">Przed przesłaniem danych usuwamy to, czego narzędzie nie potrzebuje do wykonania zadania.</w:t>
      </w:r>
    </w:p>
    <w:p>
      <w:pPr>
        <w:pStyle w:val="Heading1"/>
      </w:pPr>
      <w:r>
        <w:t xml:space="preserve">5. Weryfikacja wyników</w:t>
      </w:r>
    </w:p>
    <w:p>
      <w:pPr>
        <w:spacing w:after="120"/>
      </w:pPr>
      <w:r>
        <w:t xml:space="preserve">Przed wysłaniem do klienta lub użyciem w decyzji autor sprawdza wynik AI pod kątem faktów, liczb i zgodności z ustaleniami. Analizy [finansowe i prawne] dodatkowo sprawdza druga osoba. Za treść odpowiada autor, a nie narzędzie.</w:t>
      </w:r>
    </w:p>
    <w:p>
      <w:pPr>
        <w:pStyle w:val="Heading1"/>
      </w:pPr>
      <w:r>
        <w:t xml:space="preserve">6. Role i odpowiedzialność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4626"/>
      </w:tblGrid>
      <w:tr>
        <w:trPr>
          <w:tblHeader/>
        </w:trPr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Rola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Kto</w:t>
            </w:r>
          </w:p>
        </w:tc>
        <w:tc>
          <w:tcPr>
            <w:tcW w:type="dxa" w:w="46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Za co odpowiada</w:t>
            </w:r>
          </w:p>
        </w:tc>
      </w:tr>
      <w:tr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Właściciel polityki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[stanowisko]</w:t>
            </w:r>
          </w:p>
        </w:tc>
        <w:tc>
          <w:tcPr>
            <w:tcW w:type="dxa" w:w="46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zatwierdza politykę i jej zmiany, decyduje w sprawach spornych</w:t>
            </w:r>
          </w:p>
        </w:tc>
      </w:tr>
      <w:tr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Opiekun narzędzi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[stanowisko]</w:t>
            </w:r>
          </w:p>
        </w:tc>
        <w:tc>
          <w:tcPr>
            <w:tcW w:type="dxa" w:w="46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prowadzi rejestr, zarządza kontami, przyjmuje zgłoszenia i incydenty</w:t>
            </w:r>
          </w:p>
        </w:tc>
      </w:tr>
      <w:tr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Każda osoba objęta polityką</w:t>
            </w:r>
          </w:p>
        </w:tc>
        <w:tc>
          <w:tcPr>
            <w:tcW w:type="dxa" w:w="20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wszyscy</w:t>
            </w:r>
          </w:p>
        </w:tc>
        <w:tc>
          <w:tcPr>
            <w:tcW w:type="dxa" w:w="46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przestrzega zasad dotyczących danych, sprawdza wyniki, zgłasza incydenty</w:t>
            </w:r>
          </w:p>
        </w:tc>
      </w:tr>
    </w:tbl>
    <w:p>
      <w:pPr>
        <w:pStyle w:val="Heading1"/>
      </w:pPr>
      <w:r>
        <w:t xml:space="preserve">7. Incydenty</w:t>
      </w:r>
    </w:p>
    <w:p>
      <w:pPr>
        <w:spacing w:after="120"/>
      </w:pPr>
      <w:r>
        <w:t xml:space="preserve">Incydentem jest m.in. przesłanie danych osobowych, informacji poufnych, hasła lub klucza do niezatwierdzonego narzędzia albo udostępnienie takiej rozmowy. W razie incydentu: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zgłoś go opiekunowi narzędzi niezwłocznie, najpóźniej tego samego dnia, i opisz, co i gdzie trafiło,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przerwij dalsze udostępnianie, np. usuń link do rozmowy,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jeśli ujawniłeś hasło lub klucz, od razu je unieważnij albo zmień,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postępuj zgodnie z instrukcją opiekuna narzędzi i nie usuwaj historii na własną rękę, dopóki nie wiadomo, co trzeba zabezpieczyć.</w:t>
      </w:r>
    </w:p>
    <w:p>
      <w:pPr>
        <w:spacing w:after="120"/>
      </w:pPr>
      <w:r>
        <w:t xml:space="preserve">Jeśli doszło do naruszenia ochrony danych osobowych, [nazwa firmy] jako administrator ocenia, czy trzeba je zgłosić do Prezesa UODO, w miarę możliwości w ciągu 72 godzin od stwierdzenia (art. 33 RODO), i dokumentuje naruszenie.</w:t>
      </w:r>
    </w:p>
    <w:p>
      <w:pPr>
        <w:pStyle w:val="Heading1"/>
      </w:pPr>
      <w:r>
        <w:t xml:space="preserve">8. Szkolenia</w:t>
      </w:r>
    </w:p>
    <w:p>
      <w:pPr>
        <w:spacing w:after="120"/>
      </w:pPr>
      <w:r>
        <w:t xml:space="preserve">Każda osoba korzystająca z narzędzi AI przechodzi szkolenie wstępne przed uzyskaniem dostępu i szkolenie przypominające przy istotnej zmianie zasad. Zakres szkolenia dopasowujemy do zadań. Opiekun narzędzi prowadzi listę przeszkolonych osób z datami.</w:t>
      </w:r>
    </w:p>
    <w:p>
      <w:pPr>
        <w:pStyle w:val="Heading1"/>
      </w:pPr>
      <w:r>
        <w:t xml:space="preserve">9. Prawa autorskie i umowy z klientami</w:t>
      </w:r>
    </w:p>
    <w:p>
      <w:pPr>
        <w:spacing w:after="120"/>
      </w:pPr>
      <w:r>
        <w:t xml:space="preserve">Do narzędzi AI nie przesyłamy materiałów, do których nie mamy prawa. Treści wygenerowane wyłącznie przez AI mogą nie być chronione prawem autorskim, dlatego ważne materiały powstają z realnym udziałem człowieka. Jeśli umowa z klientem ogranicza korzystanie z AI, stosujemy zapisy umowy.</w:t>
      </w:r>
    </w:p>
    <w:p>
      <w:pPr>
        <w:pStyle w:val="Heading1"/>
      </w:pPr>
      <w:r>
        <w:t xml:space="preserve">10. Przegląd, wejście w życie i kontakt</w:t>
      </w:r>
    </w:p>
    <w:p>
      <w:pPr>
        <w:spacing w:after="120"/>
      </w:pPr>
      <w:r>
        <w:t xml:space="preserve">Polityka i rejestr narzędzi są przeglądane co [6] miesięcy oraz przy wprowadzeniu nowego narzędzia lub zmianie przepisów. Polityka wchodzi w życie [data] decyzją [organ lub osoba]. Pytania i zgłoszenia kierujesz do opiekuna narzędzi: [imię i nazwisko, e-mail].</w:t>
      </w:r>
    </w:p>
    <w:p>
      <w:pPr>
        <w:pStyle w:val="Heading1"/>
      </w:pPr>
      <w:r>
        <w:t xml:space="preserve">Załącznik 1. Rejestr narzędzi AI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100"/>
        <w:gridCol w:w="2326"/>
        <w:gridCol w:w="1300"/>
        <w:gridCol w:w="1400"/>
      </w:tblGrid>
      <w:tr>
        <w:trPr>
          <w:tblHeader/>
        </w:trP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Narzędzie i plan</w:t>
            </w:r>
          </w:p>
        </w:tc>
        <w:tc>
          <w:tcPr>
            <w:tcW w:type="dxa" w:w="21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Do czego</w:t>
            </w:r>
          </w:p>
        </w:tc>
        <w:tc>
          <w:tcPr>
            <w:tcW w:type="dxa" w:w="23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Dopuszczone dane</w:t>
            </w:r>
          </w:p>
        </w:tc>
        <w:tc>
          <w:tcPr>
            <w:tcW w:type="dxa" w:w="13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Właściciel</w:t>
            </w:r>
          </w:p>
        </w:tc>
        <w:tc>
          <w:tcPr>
            <w:tcW w:type="dxa" w:w="1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Następny przegląd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[nazwa, plan firmowy]</w:t>
            </w:r>
          </w:p>
        </w:tc>
        <w:tc>
          <w:tcPr>
            <w:tcW w:type="dxa" w:w="21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[np. szkice tekstów, streszczenia]</w:t>
            </w:r>
          </w:p>
        </w:tc>
        <w:tc>
          <w:tcPr>
            <w:tcW w:type="dxa" w:w="23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[publiczne, wewnętrzne]</w:t>
            </w:r>
          </w:p>
        </w:tc>
        <w:tc>
          <w:tcPr>
            <w:tcW w:type="dxa" w:w="13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[osoba]</w:t>
            </w:r>
          </w:p>
        </w:tc>
        <w:tc>
          <w:tcPr>
            <w:tcW w:type="dxa" w:w="1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[data]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[nazwa, plan firmowy]</w:t>
            </w:r>
          </w:p>
        </w:tc>
        <w:tc>
          <w:tcPr>
            <w:tcW w:type="dxa" w:w="21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[np. analiza notatek ze spotkań]</w:t>
            </w:r>
          </w:p>
        </w:tc>
        <w:tc>
          <w:tcPr>
            <w:tcW w:type="dxa" w:w="23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[po ocenie: dane klientów bez danych szczególnych]</w:t>
            </w:r>
          </w:p>
        </w:tc>
        <w:tc>
          <w:tcPr>
            <w:tcW w:type="dxa" w:w="13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[osoba]</w:t>
            </w:r>
          </w:p>
        </w:tc>
        <w:tc>
          <w:tcPr>
            <w:tcW w:type="dxa" w:w="1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[data]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[nazwa, konto prywatne]</w:t>
            </w:r>
          </w:p>
        </w:tc>
        <w:tc>
          <w:tcPr>
            <w:tcW w:type="dxa" w:w="21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[np. tłumaczenie publicznych tekstów]</w:t>
            </w:r>
          </w:p>
        </w:tc>
        <w:tc>
          <w:tcPr>
            <w:tcW w:type="dxa" w:w="23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[tylko publiczne]</w:t>
            </w:r>
          </w:p>
        </w:tc>
        <w:tc>
          <w:tcPr>
            <w:tcW w:type="dxa" w:w="13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[osoba]</w:t>
            </w:r>
          </w:p>
        </w:tc>
        <w:tc>
          <w:tcPr>
            <w:tcW w:type="dxa" w:w="1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[data]</w:t>
            </w:r>
          </w:p>
        </w:tc>
      </w:tr>
      <w:tr>
        <w:tc>
          <w:tcPr>
            <w:tcW w:type="dxa" w:w="19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3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</w:pPr>
      <w:r>
        <w:t xml:space="preserve">Załącznik 2. Potwierdzenie zapoznania się</w:t>
      </w:r>
    </w:p>
    <w:p>
      <w:pPr>
        <w:spacing w:after="120"/>
      </w:pPr>
      <w:r>
        <w:t xml:space="preserve">Potwierdzam, że zapoznałem się / zapoznałam się z Polityką korzystania z narzędzi AI w [nazwa firmy] i będę jej przestrzegać.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400"/>
        <w:gridCol w:w="1600"/>
        <w:gridCol w:w="2226"/>
      </w:tblGrid>
      <w:tr>
        <w:trPr>
          <w:tblHeader/>
        </w:trPr>
        <w:tc>
          <w:tcPr>
            <w:tcW w:type="dxa" w:w="28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Stanowisko</w:t>
            </w:r>
          </w:p>
        </w:tc>
        <w:tc>
          <w:tcPr>
            <w:tcW w:type="dxa" w:w="16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shd w:fill="EEF3FE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Podpis</w:t>
            </w:r>
          </w:p>
        </w:tc>
      </w:tr>
      <w:tr>
        <w:tc>
          <w:tcPr>
            <w:tcW w:type="dxa" w:w="28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6DEEB" w:sz="4"/>
              <w:left w:val="single" w:color="D6DEEB" w:sz="4"/>
              <w:bottom w:val="single" w:color="D6DEEB" w:sz="4"/>
              <w:right w:val="single" w:color="D6DEEB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36179"/>
        <w:sz w:val="16"/>
        <w:szCs w:val="16"/>
      </w:rPr>
      <w:t xml:space="preserve">Wzór polityki AI · nodash_ · strona </w:t>
    </w:r>
    <w:r>
      <w:rPr>
        <w:color w:val="53617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3D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00"/>
      <w:outlineLvl w:val="0"/>
    </w:pPr>
    <w:rPr>
      <w:rFonts w:ascii="Arial" w:cs="Arial" w:eastAsia="Arial" w:hAnsi="Arial"/>
      <w:b/>
      <w:bCs/>
      <w:color w:val="172E51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Arial" w:cs="Arial" w:eastAsia="Arial" w:hAnsi="Arial"/>
      <w:b/>
      <w:bCs/>
      <w:color w:val="172E51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polityki AI w firmie</dc:title>
  <dc:creator>nodash_</dc:creator>
  <dc:description>Wzór polityki korzystania z narzędzi AI do dostosowania</dc:description>
  <cp:lastModifiedBy>Un-named</cp:lastModifiedBy>
  <cp:revision>1</cp:revision>
  <dcterms:created xsi:type="dcterms:W3CDTF">2026-10-03T00:08:28.133Z</dcterms:created>
  <dcterms:modified xsi:type="dcterms:W3CDTF">2026-10-03T00:08:28.133Z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